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720" w:before="0"/>
        <w:ind w:firstLine="0" w:left="0" w:right="0"/>
        <w:jc w:val="center"/>
        <w:rPr>
          <w:rFonts w:ascii="Golos" w:hAnsi="Golos"/>
          <w:b w:val="1"/>
          <w:i w:val="0"/>
          <w:caps w:val="0"/>
          <w:color w:val="333333"/>
          <w:spacing w:val="0"/>
          <w:sz w:val="32"/>
        </w:rPr>
      </w:pPr>
      <w:r>
        <w:rPr>
          <w:rFonts w:ascii="Golos" w:hAnsi="Golos"/>
          <w:b w:val="1"/>
          <w:i w:val="0"/>
          <w:caps w:val="0"/>
          <w:color w:val="333333"/>
          <w:spacing w:val="0"/>
          <w:sz w:val="32"/>
        </w:rPr>
        <w:t>Рекомендации гражданам по действиям при угрозе совершения теракта</w:t>
      </w:r>
    </w:p>
    <w:p w14:paraId="02000000">
      <w:p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Цель данных рекомендаций - помочь гражданам правильно ориентироваться и действовать в экстремальных и чрезвычайных ситуациях, а также обеспечить создание условий, способствующих расследованию преступлений. Любой человек должен точно представлять свое поведение и действия в экстремальных ситуациях, психологически быть готовым к самозащите.</w:t>
      </w:r>
    </w:p>
    <w:p w14:paraId="03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Общие рекомендации:</w:t>
      </w:r>
    </w:p>
    <w:p w14:paraId="04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обращайте внимание на подозрительных людей, предметы, на любые подозрительные мелочи. Сообщайте обо всем подозрительном сотрудникам правоохранительных органов;</w:t>
      </w:r>
    </w:p>
    <w:p w14:paraId="05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никогда не принимайте от незнакомцев пакеты и сумки, не оставляйте свой багаж без присмотра;</w:t>
      </w:r>
    </w:p>
    <w:p w14:paraId="06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у семьи должен быть план действий в чрезвычайных обстоятельствах, у всех членов семьи должны быть номера телефонов, адреса электронной почты.</w:t>
      </w:r>
    </w:p>
    <w:p w14:paraId="07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необходимо назначить место встречи, где вы сможете встретиться с членами вашей семьи в экстренной ситуации;</w:t>
      </w:r>
    </w:p>
    <w:p w14:paraId="08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 случае эвакуации, возьмите с собой набор предметов первой необходимости и документы;</w:t>
      </w:r>
    </w:p>
    <w:p w14:paraId="09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всегда узнавайте, где находятся резервные выходы из помещения;</w:t>
      </w:r>
    </w:p>
    <w:p w14:paraId="0A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 доме надо укрепить и опечатать входы в подвалы и на чердаки, установить домофон, освободить лестничные клетки и коридоры от загромождающих предметов;</w:t>
      </w:r>
    </w:p>
    <w:p w14:paraId="0B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организовать дежурство жильцов вашего дома, которые будут регулярно обходить здание, наблюдая, все ли в порядке, обращая особое внимание на появление незнакомых лиц и автомобилей, разгрузку мешков и ящиков;</w:t>
      </w:r>
    </w:p>
    <w:p w14:paraId="0C000000">
      <w:pPr>
        <w:numPr>
          <w:ilvl w:val="1"/>
          <w:numId w:val="2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произошел взрыв, пожар, землетрясение, никогда не пользуйтесь лифтом;</w:t>
      </w:r>
    </w:p>
    <w:p w14:paraId="0D000000">
      <w:pPr>
        <w:numPr>
          <w:ilvl w:val="1"/>
          <w:numId w:val="2"/>
        </w:numPr>
        <w:spacing w:after="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старайтесь не поддаваться панике, что бы ни произошло.</w:t>
      </w:r>
    </w:p>
    <w:p w14:paraId="0E000000">
      <w:pPr>
        <w:spacing w:after="0" w:before="150"/>
        <w:ind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</w:p>
    <w:p w14:paraId="0F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Обнаружение подозрительного предмета, который может оказаться взрывным устройством</w:t>
      </w:r>
    </w:p>
    <w:p w14:paraId="10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 последнее время часто отмечаются случаи обнаружения гражданами подозрительных предметов, которые могут оказаться взрывными устройствами. Подобные предметы обнаруживают в транспорте, на лестничных площадках, около дверей квартир, в учреждениях и общественных местах. Как вести себя при их обнаружении? Какие действия предпринять?</w:t>
      </w:r>
    </w:p>
    <w:p w14:paraId="11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обнаруженный предмет не должен, по вашему мнению, находиться в этом месте, не оставляйте этот факт без внимания.</w:t>
      </w:r>
    </w:p>
    <w:p w14:paraId="12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вы обнаружили забытую или бесхозную вещь в общественном транспорте, опросите людей, находящихся рядом. Постарайтесь установить, чья она и кто ее мог оставить. Если хозяин не установлен, немедленно сообщите о находке водителю (машинисту).</w:t>
      </w:r>
    </w:p>
    <w:p w14:paraId="13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вы обнаружили неизвестный предмет в подъезде своего дома, опросите соседей, возможно, он принадлежит им. Если владелец не установлен - немедленно сообщите о находке в ваше отделение полиции.</w:t>
      </w:r>
    </w:p>
    <w:p w14:paraId="14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вы обнаружили неизвестный предмет в учреждении, немедленно сообщите о находке администрации или охране.</w:t>
      </w:r>
    </w:p>
    <w:p w14:paraId="15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Во всех перечисленных случаях:</w:t>
      </w:r>
    </w:p>
    <w:p w14:paraId="16000000">
      <w:pPr>
        <w:numPr>
          <w:ilvl w:val="1"/>
          <w:numId w:val="3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не трогайте, не передвигайте, не вскрывайте обнаруженный предмет;</w:t>
      </w:r>
    </w:p>
    <w:p w14:paraId="17000000">
      <w:pPr>
        <w:numPr>
          <w:ilvl w:val="1"/>
          <w:numId w:val="3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зафиксируйте время обнаружения предмета;</w:t>
      </w:r>
    </w:p>
    <w:p w14:paraId="18000000">
      <w:pPr>
        <w:numPr>
          <w:ilvl w:val="1"/>
          <w:numId w:val="3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постарайтесь сделать все возможное, чтобы люди отошли как можно дальше от находки;</w:t>
      </w:r>
    </w:p>
    <w:p w14:paraId="19000000">
      <w:pPr>
        <w:numPr>
          <w:ilvl w:val="1"/>
          <w:numId w:val="3"/>
        </w:numPr>
        <w:spacing w:after="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обязательно дождитесь прибытия оперативно-следственной группы (помните, что вы являетесь очень важным очевидцем);</w:t>
      </w:r>
    </w:p>
    <w:p w14:paraId="1A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Помните:</w:t>
      </w: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 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1B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Родители! Вы отвечаете за жизнь и здоровье ваших детей. Разъясните детям, что любой предмет найденный на улице или в подъезде, может представлять опасность.</w:t>
      </w:r>
    </w:p>
    <w:p w14:paraId="1C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 - это может привести к их взрыву, многочисленным жертвам и разрушениям.</w:t>
      </w:r>
    </w:p>
    <w:p w14:paraId="1D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Получение информации об эвакуации</w:t>
      </w:r>
    </w:p>
    <w:p w14:paraId="1E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Сообщение об эвакуации может поступить не только в случае обнаружения взрывного устройства и ликвидации последствий террористического акта, но и при пожаре, стихийном бедствии и т.п.</w:t>
      </w:r>
    </w:p>
    <w:p w14:paraId="1F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Получив сообщение от представителей властей или правоохранительных органов о начале эвакуации, соблюдайте спокойствие и четко выполняйте их команды.</w:t>
      </w:r>
    </w:p>
    <w:p w14:paraId="20000000">
      <w:pPr>
        <w:numPr>
          <w:ilvl w:val="0"/>
          <w:numId w:val="1"/>
        </w:numPr>
        <w:spacing w:after="30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1"/>
          <w:i w:val="0"/>
          <w:caps w:val="0"/>
          <w:color w:val="333333"/>
          <w:spacing w:val="0"/>
          <w:sz w:val="24"/>
        </w:rPr>
        <w:t>Действия при угрозе совершения террористического акта</w:t>
      </w:r>
    </w:p>
    <w:p w14:paraId="21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Всегда контролируйте ситуацию вокруг себя, особенно когда находитесь на объектах транспорта, культурно-развлекательных, спортивных и торговых центрах.</w:t>
      </w:r>
    </w:p>
    <w:p w14:paraId="22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При обнаружении забытых вещей, не трогая их, сообщите об этом водителю, сотрудникам объекта, службы безопасности, органов милиции. Не пытайтесь заглянуть внутрь подозрительного пакета, коробки, иного предмета.</w:t>
      </w:r>
    </w:p>
    <w:p w14:paraId="23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Не подбирайте бесхозных вещей, как бы привлекательно они не выглядели.</w:t>
      </w:r>
    </w:p>
    <w:p w14:paraId="24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В них могут быть закамуфлированы взрывные устройства (в банках из-под пива, сотовых телефонах и т.п.). Не пинайте на улице предметы, лежащие на земле.</w:t>
      </w:r>
    </w:p>
    <w:p w14:paraId="25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</w:t>
      </w:r>
    </w:p>
    <w:p w14:paraId="26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p w14:paraId="27000000">
      <w:pPr>
        <w:numPr>
          <w:ilvl w:val="1"/>
          <w:numId w:val="4"/>
        </w:numPr>
        <w:spacing w:after="24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Случайно узнав о готовящемся теракте, немедленно сообщите об этом в правоохранительные органы.</w:t>
      </w:r>
    </w:p>
    <w:p w14:paraId="28000000">
      <w:pPr>
        <w:numPr>
          <w:ilvl w:val="1"/>
          <w:numId w:val="4"/>
        </w:numPr>
        <w:spacing w:after="0" w:before="150"/>
        <w:ind w:firstLine="0" w:left="375" w:right="0"/>
        <w:jc w:val="left"/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</w:pPr>
      <w:r>
        <w:rPr>
          <w:rFonts w:ascii="XO Thames" w:hAnsi="XO Thames"/>
          <w:b w:val="0"/>
          <w:i w:val="0"/>
          <w:caps w:val="0"/>
          <w:color w:val="333333"/>
          <w:spacing w:val="0"/>
          <w:sz w:val="24"/>
        </w:rPr>
        <w:t>Если вам стало известно о готовящемся или совершенном преступлении, немедленно сообщите об этом в органы ФСБ или МВД.</w:t>
      </w:r>
    </w:p>
    <w:p w14:paraId="2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0" w:gutter="0" w:header="0" w:left="1701" w:right="850" w:top="4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160" w:line="252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Body Text"/>
    <w:basedOn w:val="Style_1"/>
    <w:link w:val="Style_3_ch"/>
    <w:pPr>
      <w:widowControl w:val="1"/>
      <w:spacing w:after="140" w:line="276" w:lineRule="auto"/>
      <w:ind/>
    </w:pPr>
  </w:style>
  <w:style w:styleId="Style_3_ch" w:type="character">
    <w:name w:val="Body Text"/>
    <w:basedOn w:val="Style_1_ch"/>
    <w:link w:val="Style_3"/>
  </w:style>
  <w:style w:styleId="Style_4" w:type="paragraph">
    <w:name w:val="toc 4"/>
    <w:next w:val="Style_1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List Paragraph"/>
    <w:basedOn w:val="Style_1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1_ch"/>
    <w:link w:val="Style_5"/>
  </w:style>
  <w:style w:styleId="Style_6" w:type="paragraph">
    <w:name w:val="toc 6"/>
    <w:next w:val="Style_1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Содержимое таблицы"/>
    <w:basedOn w:val="Style_1"/>
    <w:link w:val="Style_7_ch"/>
    <w:pPr>
      <w:widowControl w:val="1"/>
      <w:spacing w:after="0" w:line="240" w:lineRule="auto"/>
      <w:ind/>
    </w:pPr>
    <w:rPr>
      <w:rFonts w:ascii="Arial" w:hAnsi="Arial"/>
      <w:sz w:val="20"/>
    </w:rPr>
  </w:style>
  <w:style w:styleId="Style_7_ch" w:type="character">
    <w:name w:val="Содержимое таблицы"/>
    <w:basedOn w:val="Style_1_ch"/>
    <w:link w:val="Style_7"/>
    <w:rPr>
      <w:rFonts w:ascii="Arial" w:hAnsi="Arial"/>
      <w:sz w:val="20"/>
    </w:rPr>
  </w:style>
  <w:style w:styleId="Style_8" w:type="paragraph">
    <w:name w:val="toc 7"/>
    <w:next w:val="Style_1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Заголовок таблицы"/>
    <w:basedOn w:val="Style_7"/>
    <w:link w:val="Style_12_ch"/>
    <w:pPr>
      <w:widowControl w:val="1"/>
      <w:ind/>
      <w:jc w:val="center"/>
    </w:pPr>
    <w:rPr>
      <w:b w:val="1"/>
    </w:rPr>
  </w:style>
  <w:style w:styleId="Style_12_ch" w:type="character">
    <w:name w:val="Заголовок таблицы"/>
    <w:basedOn w:val="Style_7_ch"/>
    <w:link w:val="Style_12"/>
    <w:rPr>
      <w:b w:val="1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index heading"/>
    <w:basedOn w:val="Style_1"/>
    <w:link w:val="Style_15_ch"/>
  </w:style>
  <w:style w:styleId="Style_15_ch" w:type="character">
    <w:name w:val="index heading"/>
    <w:basedOn w:val="Style_1_ch"/>
    <w:link w:val="Style_15"/>
  </w:style>
  <w:style w:styleId="Style_16" w:type="paragraph">
    <w:name w:val="caption"/>
    <w:basedOn w:val="Style_1"/>
    <w:link w:val="Style_16_ch"/>
    <w:pPr>
      <w:widowControl w:val="1"/>
      <w:spacing w:after="120" w:before="120"/>
      <w:ind/>
    </w:pPr>
    <w:rPr>
      <w:i w:val="1"/>
      <w:sz w:val="24"/>
    </w:rPr>
  </w:style>
  <w:style w:styleId="Style_16_ch" w:type="character">
    <w:name w:val="caption"/>
    <w:basedOn w:val="Style_1_ch"/>
    <w:link w:val="Style_16"/>
    <w:rPr>
      <w:i w:val="1"/>
      <w:sz w:val="24"/>
    </w:rPr>
  </w:style>
  <w:style w:styleId="Style_17" w:type="paragraph">
    <w:name w:val="toc 3"/>
    <w:next w:val="Style_1"/>
    <w:link w:val="Style_17_ch"/>
    <w:uiPriority w:val="39"/>
    <w:pPr>
      <w:widowControl w:val="1"/>
      <w:ind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1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1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1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List"/>
    <w:basedOn w:val="Style_3"/>
    <w:link w:val="Style_23_ch"/>
  </w:style>
  <w:style w:styleId="Style_23_ch" w:type="character">
    <w:name w:val="List"/>
    <w:basedOn w:val="Style_3_ch"/>
    <w:link w:val="Style_23"/>
  </w:style>
  <w:style w:styleId="Style_24" w:type="paragraph">
    <w:name w:val="Header and Footer"/>
    <w:link w:val="Style_24_ch"/>
    <w:pPr>
      <w:widowControl w:val="1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Заголовок"/>
    <w:basedOn w:val="Style_1"/>
    <w:next w:val="Style_3"/>
    <w:link w:val="Style_2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5_ch" w:type="character">
    <w:name w:val="Заголовок"/>
    <w:basedOn w:val="Style_1_ch"/>
    <w:link w:val="Style_25"/>
    <w:rPr>
      <w:rFonts w:ascii="Liberation Sans" w:hAnsi="Liberation Sans"/>
      <w:sz w:val="28"/>
    </w:rPr>
  </w:style>
  <w:style w:styleId="Style_26" w:type="paragraph">
    <w:name w:val="toc 9"/>
    <w:next w:val="Style_1"/>
    <w:link w:val="Style_26_ch"/>
    <w:uiPriority w:val="39"/>
    <w:pPr>
      <w:widowControl w:val="1"/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1"/>
    <w:link w:val="Style_27_ch"/>
    <w:uiPriority w:val="39"/>
    <w:pPr>
      <w:widowControl w:val="1"/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1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Указатель1"/>
    <w:basedOn w:val="Style_1"/>
    <w:link w:val="Style_29_ch"/>
  </w:style>
  <w:style w:styleId="Style_29_ch" w:type="character">
    <w:name w:val="Указатель1"/>
    <w:basedOn w:val="Style_1_ch"/>
    <w:link w:val="Style_29"/>
  </w:style>
  <w:style w:styleId="Style_30" w:type="paragraph">
    <w:name w:val="Subtitle"/>
    <w:next w:val="Style_1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1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1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1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Гиперссылка1"/>
    <w:link w:val="Style_34_ch"/>
    <w:rPr>
      <w:color w:val="0000FF"/>
      <w:u w:val="single"/>
    </w:rPr>
  </w:style>
  <w:style w:styleId="Style_34_ch" w:type="character">
    <w:name w:val="Гиперссылка1"/>
    <w:link w:val="Style_34"/>
    <w:rPr>
      <w:color w:val="0000FF"/>
      <w:u w:val="single"/>
    </w:rPr>
  </w:style>
  <w:style w:styleId="Style_35" w:type="table">
    <w:name w:val="Table Grid"/>
    <w:basedOn w:val="Style_36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2026-09-15T13:36:12Z</dcterms:created>
  <dcterms:modified xsi:type="dcterms:W3CDTF">2026-09-15T13:36:12Z</dcterms:modified>
</cp:coreProperties>
</file>